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lang w:val="en-US" w:eastAsia="zh-CN"/>
        </w:rPr>
      </w:pPr>
      <w:r>
        <w:rPr>
          <w:rFonts w:hint="eastAsia"/>
          <w:b/>
          <w:bCs/>
          <w:sz w:val="48"/>
          <w:szCs w:val="48"/>
          <w:lang w:val="en-US" w:eastAsia="zh-CN"/>
        </w:rPr>
        <w:t xml:space="preserve">   </w:t>
      </w:r>
    </w:p>
    <w:p>
      <w:pPr>
        <w:autoSpaceDE w:val="0"/>
        <w:autoSpaceDN w:val="0"/>
        <w:spacing w:before="0" w:after="0" w:line="240" w:lineRule="auto"/>
        <w:ind w:left="0" w:right="0"/>
        <w:jc w:val="center"/>
        <w:rPr>
          <w:rFonts w:hint="eastAsia" w:ascii="微软雅黑" w:hAnsi="微软雅黑" w:eastAsia="微软雅黑" w:cs="微软雅黑"/>
          <w:b/>
          <w:bCs/>
          <w:kern w:val="0"/>
          <w:sz w:val="30"/>
          <w:szCs w:val="30"/>
          <w:lang w:val="en-US" w:eastAsia="zh-CN" w:bidi="zh-CN"/>
        </w:rPr>
      </w:pPr>
      <w:bookmarkStart w:id="0" w:name="_GoBack"/>
      <w:r>
        <w:rPr>
          <w:rFonts w:hint="eastAsia" w:ascii="微软雅黑" w:hAnsi="微软雅黑" w:eastAsia="微软雅黑" w:cs="微软雅黑"/>
          <w:b/>
          <w:bCs/>
          <w:kern w:val="0"/>
          <w:sz w:val="30"/>
          <w:szCs w:val="30"/>
          <w:lang w:val="en-US" w:eastAsia="zh-CN" w:bidi="zh-CN"/>
        </w:rPr>
        <w:t>鼠尾基因型快速鉴定试剂盒说明书</w:t>
      </w:r>
    </w:p>
    <w:bookmarkEnd w:id="0"/>
    <w:p>
      <w:pPr>
        <w:pStyle w:val="2"/>
        <w:spacing w:before="204"/>
        <w:ind w:left="100"/>
        <w:rPr>
          <w:rFonts w:hint="eastAsia" w:ascii="宋体" w:hAnsi="宋体" w:eastAsia="宋体" w:cs="宋体"/>
          <w:sz w:val="24"/>
          <w:szCs w:val="24"/>
          <w:lang w:val="en-US" w:eastAsia="zh-CN" w:bidi="zh-CN"/>
        </w:rPr>
      </w:pPr>
      <w:r>
        <w:rPr>
          <w:rFonts w:hint="eastAsia" w:ascii="微软雅黑" w:hAnsi="微软雅黑" w:eastAsia="微软雅黑" w:cs="微软雅黑"/>
          <w:b/>
          <w:bCs/>
          <w:sz w:val="24"/>
          <w:szCs w:val="24"/>
          <w:lang w:val="en-US" w:eastAsia="zh-CN" w:bidi="zh-CN"/>
        </w:rPr>
        <w:t>产品简介：</w:t>
      </w:r>
    </w:p>
    <w:p>
      <w:pPr>
        <w:spacing w:beforeLines="0" w:after="75" w:afterLines="0" w:line="225" w:lineRule="atLeast"/>
        <w:ind w:right="225"/>
        <w:jc w:val="left"/>
        <w:rPr>
          <w:rFonts w:ascii="宋体" w:hAnsi="宋体" w:eastAsia="宋体" w:cs="宋体"/>
          <w:sz w:val="18"/>
          <w:szCs w:val="18"/>
        </w:rPr>
      </w:pPr>
      <w:r>
        <w:rPr>
          <w:rFonts w:hint="eastAsia" w:ascii="宋体" w:hAnsi="宋体" w:eastAsia="宋体" w:cs="宋体"/>
          <w:sz w:val="18"/>
          <w:szCs w:val="18"/>
          <w:lang w:val="en-US" w:eastAsia="zh-CN"/>
        </w:rPr>
        <w:t>1、</w:t>
      </w:r>
      <w:r>
        <w:rPr>
          <w:rFonts w:ascii="宋体" w:hAnsi="宋体" w:eastAsia="宋体" w:cs="宋体"/>
          <w:sz w:val="18"/>
          <w:szCs w:val="18"/>
        </w:rPr>
        <w:t>鼠尾基因型快速鉴定试剂盒，也称小鼠基因型快速鉴定试剂盒(鼠尾)(Quick Genotyping Assay Kit for Mouse Tail)可以从鼠尾、鼠耳(mouse ear)或其它组织快速提取和PCR扩增基因组DNA，以用于小鼠基因型鉴定(genotyping)等。试剂 盒提供了Easy-Load™ PCR Master Mix (Green, 2X)，PCR更便捷，PCR结束后可以直接上样电泳。</w:t>
      </w:r>
    </w:p>
    <w:p>
      <w:pPr>
        <w:spacing w:beforeLines="0" w:after="75" w:afterLines="0" w:line="225" w:lineRule="atLeast"/>
        <w:ind w:right="225"/>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r>
        <w:rPr>
          <w:rFonts w:ascii="宋体" w:hAnsi="宋体" w:eastAsia="宋体" w:cs="宋体"/>
          <w:sz w:val="18"/>
          <w:szCs w:val="18"/>
        </w:rPr>
        <w:t>本试剂盒能快速消化鼠尾组织样品获得基因组DNA，无需机械破碎、有机萃取、柱纯化和DNA沉淀，鼠尾基因组DNA抽提 的过程仅需约20分钟。</w:t>
      </w:r>
    </w:p>
    <w:p>
      <w:pPr>
        <w:jc w:val="both"/>
        <w:rPr>
          <w:rFonts w:hint="eastAsia" w:asciiTheme="minorEastAsia" w:hAnsiTheme="minorEastAsia" w:eastAsiaTheme="minorEastAsia" w:cstheme="minorEastAsia"/>
          <w:b w:val="0"/>
          <w:bCs w:val="0"/>
          <w:sz w:val="18"/>
          <w:szCs w:val="18"/>
          <w:lang w:val="en-US" w:eastAsia="zh-CN"/>
        </w:rPr>
      </w:pPr>
      <w:r>
        <w:rPr>
          <w:rFonts w:hint="eastAsia" w:ascii="宋体" w:hAnsi="宋体" w:eastAsia="宋体" w:cs="宋体"/>
          <w:sz w:val="18"/>
          <w:szCs w:val="18"/>
          <w:lang w:val="en-US" w:eastAsia="zh-CN"/>
        </w:rPr>
        <w:t>3、</w:t>
      </w:r>
      <w:r>
        <w:rPr>
          <w:rFonts w:ascii="宋体" w:hAnsi="宋体" w:eastAsia="宋体" w:cs="宋体"/>
          <w:sz w:val="18"/>
          <w:szCs w:val="18"/>
        </w:rPr>
        <w:t>本试剂盒适用于小鼠等的基因型鉴定(genotyping)，提供了小鼠基因型鉴定的对照引物，产物大小为299bp。</w:t>
      </w:r>
    </w:p>
    <w:p>
      <w:pPr>
        <w:spacing w:line="360" w:lineRule="auto"/>
        <w:jc w:val="both"/>
        <w:rPr>
          <w:rFonts w:hint="eastAsia"/>
          <w:b/>
          <w:bCs/>
          <w:sz w:val="18"/>
          <w:szCs w:val="18"/>
          <w:lang w:val="en-US" w:eastAsia="zh-CN"/>
        </w:rPr>
      </w:pPr>
      <w:r>
        <w:rPr>
          <w:rFonts w:hint="eastAsia" w:ascii="宋体" w:hAnsi="宋体" w:eastAsia="宋体" w:cs="宋体"/>
          <w:sz w:val="18"/>
          <w:szCs w:val="18"/>
          <w:lang w:val="en-US" w:eastAsia="zh-CN"/>
        </w:rPr>
        <w:t>4、</w:t>
      </w:r>
      <w:r>
        <w:rPr>
          <w:rFonts w:ascii="宋体" w:hAnsi="宋体" w:eastAsia="宋体" w:cs="宋体"/>
          <w:sz w:val="18"/>
          <w:szCs w:val="18"/>
        </w:rPr>
        <w:t>本试剂盒中提供的Easy-Load™ PCR Master Mix (Green, 2X)中含有2X Taq DNA Polymerase，2X PCR Buffer，2X dNTP和2X 上样缓冲液，只需加入适量引物、模板和水即可进行PCR扩增，大大简化了PCR操作，减少了PCR操作过程中可能导致的污 染。PCR完成后可以直接上样电泳，无需再添加上样缓冲液。</w:t>
      </w:r>
    </w:p>
    <w:p>
      <w:pPr>
        <w:spacing w:line="360" w:lineRule="auto"/>
        <w:jc w:val="both"/>
        <w:rPr>
          <w:rFonts w:ascii="宋体" w:hAnsi="宋体" w:eastAsia="宋体" w:cs="宋体"/>
          <w:sz w:val="18"/>
          <w:szCs w:val="18"/>
        </w:rPr>
      </w:pPr>
      <w:r>
        <w:rPr>
          <w:rFonts w:hint="eastAsia" w:ascii="宋体" w:hAnsi="宋体" w:eastAsia="宋体" w:cs="宋体"/>
          <w:sz w:val="18"/>
          <w:szCs w:val="18"/>
          <w:lang w:val="en-US" w:eastAsia="zh-CN"/>
        </w:rPr>
        <w:t>5、</w:t>
      </w:r>
      <w:r>
        <w:rPr>
          <w:rFonts w:ascii="宋体" w:hAnsi="宋体" w:eastAsia="宋体" w:cs="宋体"/>
          <w:sz w:val="18"/>
          <w:szCs w:val="18"/>
        </w:rPr>
        <w:t>使用本试剂盒进行PCR检测时仅需极少量的样品就能完成目的基因的扩增和分析。</w:t>
      </w:r>
    </w:p>
    <w:p>
      <w:pPr>
        <w:spacing w:line="36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r>
        <w:rPr>
          <w:rFonts w:ascii="宋体" w:hAnsi="宋体" w:eastAsia="宋体" w:cs="宋体"/>
          <w:sz w:val="18"/>
          <w:szCs w:val="18"/>
        </w:rPr>
        <w:t>使用本试剂盒提取的小鼠尾巴基因组DNA直接PCR的效果可参照图1。</w:t>
      </w:r>
    </w:p>
    <w:p>
      <w:pPr>
        <w:spacing w:line="360" w:lineRule="auto"/>
        <w:jc w:val="both"/>
        <w:rPr>
          <w:rFonts w:hint="eastAsia"/>
          <w:b/>
          <w:bCs/>
          <w:sz w:val="24"/>
          <w:szCs w:val="24"/>
          <w:lang w:val="en-US" w:eastAsia="zh-CN"/>
        </w:rPr>
      </w:pPr>
      <w:r>
        <w:rPr>
          <w:rFonts w:hint="eastAsia"/>
          <w:lang w:val="en-US" w:eastAsia="zh-CN"/>
        </w:rPr>
        <w:t xml:space="preserve">                         </w:t>
      </w:r>
      <w:r>
        <w:drawing>
          <wp:inline distT="0" distB="0" distL="114300" distR="114300">
            <wp:extent cx="849630" cy="1718310"/>
            <wp:effectExtent l="0" t="0" r="7620"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849630" cy="1718310"/>
                    </a:xfrm>
                    <a:prstGeom prst="rect">
                      <a:avLst/>
                    </a:prstGeom>
                    <a:noFill/>
                    <a:ln>
                      <a:noFill/>
                    </a:ln>
                  </pic:spPr>
                </pic:pic>
              </a:graphicData>
            </a:graphic>
          </wp:inline>
        </w:drawing>
      </w:r>
    </w:p>
    <w:p>
      <w:pPr>
        <w:spacing w:line="360"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图1. 本试剂盒提取的小鼠尾巴基因组DNA直接PCR后的电泳图。PCR反应使用的引物是根据小鼠GAPDH和HSP70基因序列进行设计的，泳道1(GAPDH)和2(HSP70)的PCR产物大小分别为299bp和403bp。M, marker。</w:t>
      </w:r>
    </w:p>
    <w:p>
      <w:pPr>
        <w:numPr>
          <w:ilvl w:val="0"/>
          <w:numId w:val="1"/>
        </w:numPr>
        <w:spacing w:line="360" w:lineRule="auto"/>
        <w:jc w:val="both"/>
        <w:rPr>
          <w:rFonts w:hint="eastAsia" w:ascii="宋体" w:hAnsi="宋体" w:eastAsia="宋体" w:cs="宋体"/>
          <w:sz w:val="18"/>
          <w:szCs w:val="18"/>
          <w:lang w:val="en-US" w:eastAsia="zh-CN"/>
        </w:rPr>
      </w:pPr>
      <w:r>
        <w:rPr>
          <w:rFonts w:hint="eastAsia"/>
          <w:b/>
          <w:sz w:val="32"/>
          <w:szCs w:val="32"/>
        </w:rPr>
        <w:drawing>
          <wp:anchor distT="0" distB="0" distL="114300" distR="114300" simplePos="0" relativeHeight="251658240" behindDoc="1" locked="0" layoutInCell="1" allowOverlap="1">
            <wp:simplePos x="0" y="0"/>
            <wp:positionH relativeFrom="column">
              <wp:posOffset>4956175</wp:posOffset>
            </wp:positionH>
            <wp:positionV relativeFrom="paragraph">
              <wp:posOffset>6815455</wp:posOffset>
            </wp:positionV>
            <wp:extent cx="1485265" cy="1485265"/>
            <wp:effectExtent l="0" t="0" r="635" b="635"/>
            <wp:wrapNone/>
            <wp:docPr id="5" name="图片 5" descr="上海联硕质检专用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上海联硕质检专用章"/>
                    <pic:cNvPicPr>
                      <a:picLocks noChangeAspect="1"/>
                    </pic:cNvPicPr>
                  </pic:nvPicPr>
                  <pic:blipFill>
                    <a:blip r:embed="rId7"/>
                    <a:stretch>
                      <a:fillRect/>
                    </a:stretch>
                  </pic:blipFill>
                  <pic:spPr>
                    <a:xfrm>
                      <a:off x="0" y="0"/>
                      <a:ext cx="1485265" cy="1485265"/>
                    </a:xfrm>
                    <a:prstGeom prst="rect">
                      <a:avLst/>
                    </a:prstGeom>
                    <a:noFill/>
                    <a:ln w="9525">
                      <a:noFill/>
                    </a:ln>
                  </pic:spPr>
                </pic:pic>
              </a:graphicData>
            </a:graphic>
          </wp:anchor>
        </w:drawing>
      </w:r>
      <w:r>
        <w:rPr>
          <w:rFonts w:hint="eastAsia" w:ascii="宋体" w:hAnsi="宋体" w:eastAsia="宋体" w:cs="宋体"/>
          <w:sz w:val="18"/>
          <w:szCs w:val="18"/>
          <w:lang w:val="en-US" w:eastAsia="zh-CN"/>
        </w:rPr>
        <w:t>对于20微升的PCR反应体系，本试剂盒的两种包装分别可用于100个或500个鼠尾样品的基因型鉴定。</w:t>
      </w:r>
    </w:p>
    <w:p>
      <w:pPr>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产品组成：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17"/>
        <w:gridCol w:w="452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17" w:type="dxa"/>
          </w:tcPr>
          <w:p>
            <w:p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产品编号</w:t>
            </w:r>
          </w:p>
        </w:tc>
        <w:tc>
          <w:tcPr>
            <w:tcW w:w="4525" w:type="dxa"/>
          </w:tcPr>
          <w:p>
            <w:p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产品名称</w:t>
            </w:r>
          </w:p>
        </w:tc>
        <w:tc>
          <w:tcPr>
            <w:tcW w:w="1980" w:type="dxa"/>
          </w:tcPr>
          <w:p>
            <w:p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17" w:type="dxa"/>
          </w:tcPr>
          <w:p>
            <w:pPr>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RC23175-1</w:t>
            </w:r>
          </w:p>
        </w:tc>
        <w:tc>
          <w:tcPr>
            <w:tcW w:w="4525" w:type="dxa"/>
          </w:tcPr>
          <w:p>
            <w:p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DNA Extraction Solution  </w:t>
            </w:r>
          </w:p>
        </w:tc>
        <w:tc>
          <w:tcPr>
            <w:tcW w:w="1980" w:type="dxa"/>
          </w:tcPr>
          <w:p>
            <w:p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17" w:type="dxa"/>
          </w:tcPr>
          <w:p>
            <w:pPr>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RC23175-2</w:t>
            </w:r>
          </w:p>
        </w:tc>
        <w:tc>
          <w:tcPr>
            <w:tcW w:w="4525" w:type="dxa"/>
          </w:tcPr>
          <w:p>
            <w:p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Enzyme Mix  </w:t>
            </w:r>
          </w:p>
        </w:tc>
        <w:tc>
          <w:tcPr>
            <w:tcW w:w="1980" w:type="dxa"/>
          </w:tcPr>
          <w:p>
            <w:p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0.4ml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17" w:type="dxa"/>
          </w:tcPr>
          <w:p>
            <w:pPr>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RC23175-3</w:t>
            </w:r>
          </w:p>
        </w:tc>
        <w:tc>
          <w:tcPr>
            <w:tcW w:w="4525" w:type="dxa"/>
          </w:tcPr>
          <w:p>
            <w:p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Stop Solution  </w:t>
            </w:r>
          </w:p>
        </w:tc>
        <w:tc>
          <w:tcPr>
            <w:tcW w:w="1980" w:type="dxa"/>
          </w:tcPr>
          <w:p>
            <w:p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17" w:type="dxa"/>
          </w:tcPr>
          <w:p>
            <w:pPr>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RC23175-4</w:t>
            </w:r>
          </w:p>
        </w:tc>
        <w:tc>
          <w:tcPr>
            <w:tcW w:w="4525" w:type="dxa"/>
          </w:tcPr>
          <w:p>
            <w:p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Easy-Load™ PCR Master Mix (Green, 2X)  </w:t>
            </w:r>
          </w:p>
        </w:tc>
        <w:tc>
          <w:tcPr>
            <w:tcW w:w="1980" w:type="dxa"/>
          </w:tcPr>
          <w:p>
            <w:p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17" w:type="dxa"/>
          </w:tcPr>
          <w:p>
            <w:pPr>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RC23175-5</w:t>
            </w:r>
          </w:p>
        </w:tc>
        <w:tc>
          <w:tcPr>
            <w:tcW w:w="4525" w:type="dxa"/>
          </w:tcPr>
          <w:p>
            <w:p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Control Primers for Mouse GAPDH (10μM each)  </w:t>
            </w:r>
          </w:p>
        </w:tc>
        <w:tc>
          <w:tcPr>
            <w:tcW w:w="1980" w:type="dxa"/>
          </w:tcPr>
          <w:p>
            <w:p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20μl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17" w:type="dxa"/>
          </w:tcPr>
          <w:p>
            <w:pPr>
              <w:jc w:val="both"/>
              <w:rPr>
                <w:rFonts w:hint="eastAsia" w:ascii="宋体" w:hAnsi="宋体" w:eastAsia="宋体" w:cs="宋体"/>
                <w:sz w:val="18"/>
                <w:szCs w:val="18"/>
                <w:vertAlign w:val="baseline"/>
                <w:lang w:val="en-US" w:eastAsia="zh-CN"/>
              </w:rPr>
            </w:pPr>
          </w:p>
        </w:tc>
        <w:tc>
          <w:tcPr>
            <w:tcW w:w="4525" w:type="dxa"/>
          </w:tcPr>
          <w:p>
            <w:pPr>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说明书  </w:t>
            </w:r>
          </w:p>
        </w:tc>
        <w:tc>
          <w:tcPr>
            <w:tcW w:w="1980" w:type="dxa"/>
          </w:tcPr>
          <w:p>
            <w:pPr>
              <w:jc w:val="both"/>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1份</w:t>
            </w:r>
          </w:p>
        </w:tc>
      </w:tr>
    </w:tbl>
    <w:p>
      <w:pPr>
        <w:jc w:val="both"/>
        <w:rPr>
          <w:rFonts w:hint="eastAsia" w:ascii="宋体" w:hAnsi="宋体" w:eastAsia="宋体" w:cs="宋体"/>
          <w:sz w:val="18"/>
          <w:szCs w:val="18"/>
          <w:lang w:val="en-US" w:eastAsia="zh-CN"/>
        </w:rPr>
      </w:pPr>
    </w:p>
    <w:p>
      <w:pPr>
        <w:jc w:val="both"/>
        <w:rPr>
          <w:rFonts w:hint="eastAsia" w:ascii="宋体" w:hAnsi="宋体" w:eastAsia="宋体" w:cs="宋体"/>
          <w:sz w:val="18"/>
          <w:szCs w:val="18"/>
          <w:lang w:val="en-US" w:eastAsia="zh-CN"/>
        </w:rPr>
      </w:pPr>
      <w:r>
        <w:rPr>
          <w:rFonts w:hint="eastAsia" w:ascii="微软雅黑" w:hAnsi="微软雅黑" w:eastAsia="微软雅黑" w:cs="微软雅黑"/>
          <w:b/>
          <w:bCs/>
          <w:sz w:val="24"/>
          <w:szCs w:val="24"/>
          <w:lang w:val="en-US" w:eastAsia="zh-CN" w:bidi="zh-CN"/>
        </w:rPr>
        <w:t>保存条件：</w:t>
      </w:r>
      <w:r>
        <w:rPr>
          <w:rFonts w:hint="eastAsia" w:ascii="宋体" w:hAnsi="宋体" w:eastAsia="宋体" w:cs="宋体"/>
          <w:sz w:val="18"/>
          <w:szCs w:val="18"/>
          <w:lang w:val="en-US" w:eastAsia="zh-CN"/>
        </w:rPr>
        <w:t>-20ºC保存，一年有效。DNA Extraction Solution和Stop Solution可以4ºC保存，3个月内有效。</w:t>
      </w:r>
    </w:p>
    <w:p>
      <w:pPr>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注意事项：</w:t>
      </w:r>
    </w:p>
    <w:p>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1、使用本试剂盒消化小鼠尾巴或其它组织样品时，一定要确保组织样品充分浸没在消化液中。</w:t>
      </w:r>
    </w:p>
    <w:p>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 配制消化液时，DNA Extraction Solution和Enzyme Mix混匀后，应尽快使用，放置太久 可能 会影响DNA抽提效果。</w:t>
      </w:r>
    </w:p>
    <w:p>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3、由于PCR反应非常灵敏，可以扩增目的基因片段超过1000万倍，在使用Taq酶时请注意避免微量待扩增DNA的污染，并尽量考虑设置不加模板的空白对照以确认是否有待扩增DNA的污染。</w:t>
      </w:r>
    </w:p>
    <w:p>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4、本试剂盒中的Easy-Load™ PCR Master Mix (Green, 2X)经过15次反复冻融后仍具有和冻融前几乎相同的PCR扩增效果，但仍宜适当避免过多的反复冻融，并且在使用前，一定要完全融化，并上下颠倒轻轻混匀后才能使用，并尽量避免起泡。</w:t>
      </w:r>
    </w:p>
    <w:p>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5、本产品仅限于专业人员的科学研究用，不得用于临床诊断或治疗，不得用于食品或药品，不得存放于普通住宅内。</w:t>
      </w:r>
    </w:p>
    <w:p>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6、为了您的安全和健康，请穿实验服并戴一次性手套操作。</w:t>
      </w:r>
    </w:p>
    <w:p>
      <w:pPr>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使用说明：</w:t>
      </w:r>
    </w:p>
    <w:p>
      <w:pPr>
        <w:numPr>
          <w:ilvl w:val="0"/>
          <w:numId w:val="2"/>
        </w:numPr>
        <w:jc w:val="both"/>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 xml:space="preserve"> 小鼠尾巴 、 动物组织 、 头发或唾液基因组DNA</w:t>
      </w:r>
    </w:p>
    <w:p>
      <w:pPr>
        <w:widowControl w:val="0"/>
        <w:numPr>
          <w:ilvl w:val="0"/>
          <w:numId w:val="3"/>
        </w:numPr>
        <w:ind w:firstLine="180" w:firstLineChars="10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消化液的配制：按照样本数量配制消化液，具体配制方法如下：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试剂</w:t>
            </w:r>
          </w:p>
        </w:tc>
        <w:tc>
          <w:tcPr>
            <w:tcW w:w="2841"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1个样品</w:t>
            </w:r>
          </w:p>
        </w:tc>
        <w:tc>
          <w:tcPr>
            <w:tcW w:w="2399"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10个样品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DNA Extraction Solution</w:t>
            </w:r>
          </w:p>
        </w:tc>
        <w:tc>
          <w:tcPr>
            <w:tcW w:w="2841"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96μl  </w:t>
            </w:r>
          </w:p>
        </w:tc>
        <w:tc>
          <w:tcPr>
            <w:tcW w:w="2399"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960μl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Enzyme Mix  </w:t>
            </w:r>
          </w:p>
        </w:tc>
        <w:tc>
          <w:tcPr>
            <w:tcW w:w="2841"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4μl  </w:t>
            </w:r>
          </w:p>
        </w:tc>
        <w:tc>
          <w:tcPr>
            <w:tcW w:w="2399"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40μl</w:t>
            </w:r>
          </w:p>
        </w:tc>
      </w:tr>
    </w:tbl>
    <w:p>
      <w:pPr>
        <w:widowControl w:val="0"/>
        <w:numPr>
          <w:numId w:val="0"/>
        </w:numPr>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注：消化液需现配现用，并需要在充分混匀后使用。</w:t>
      </w:r>
    </w:p>
    <w:p>
      <w:pPr>
        <w:widowControl w:val="0"/>
        <w:numPr>
          <w:ilvl w:val="0"/>
          <w:numId w:val="3"/>
        </w:numPr>
        <w:ind w:left="0" w:leftChars="0" w:firstLine="180" w:firstLineChars="10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不同组织样品基因组DNA的提取。</w:t>
      </w:r>
    </w:p>
    <w:p>
      <w:pPr>
        <w:widowControl w:val="0"/>
        <w:numPr>
          <w:numId w:val="0"/>
        </w:numPr>
        <w:ind w:leftChars="10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(a)  新鲜或冻存的小鼠尾巴：实验前用70%的乙醇冲洗剪刀和镊子。剪取0.2-1cm的小鼠尾尖置于上述配制好的100μl消化液中，需确保小鼠尾巴完全浸没在溶液中(一般情况下，重量约为15mg的1cm长的小鼠尾尖刚好能浸没在含有100μl消化液的PCR管中，小鼠尾巴的重量不宜超过15mg)。对于新鲜的小鼠尾巴，建议尽量在剪下鼠尾后30分钟内进行基因组DNA抽提，否则宜尽快冷冻存放。</w:t>
      </w:r>
    </w:p>
    <w:p>
      <w:pPr>
        <w:widowControl w:val="0"/>
        <w:numPr>
          <w:numId w:val="0"/>
        </w:numPr>
        <w:ind w:leftChars="10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(b)  头发：实验前用70%的乙醇冲洗剪刀和镊子。剪除头发的多余部分，仅需保留头发的根部区域并将其置于上述配制好的100μl消化液中，每次提取只需一根带根部的头发。</w:t>
      </w:r>
    </w:p>
    <w:p>
      <w:pPr>
        <w:widowControl w:val="0"/>
        <w:numPr>
          <w:numId w:val="0"/>
        </w:numPr>
        <w:ind w:leftChars="10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(c)  唾液：吸取10μl的唾液加入上述配制好的100μl消化液中，涡旋或移液枪吹打混匀。</w:t>
      </w:r>
    </w:p>
    <w:p>
      <w:pPr>
        <w:widowControl w:val="0"/>
        <w:numPr>
          <w:numId w:val="0"/>
        </w:numPr>
        <w:ind w:leftChars="10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c. 将样品置于55ºC水浴或PCR仪，孵育15分钟。</w:t>
      </w:r>
    </w:p>
    <w:p>
      <w:pPr>
        <w:widowControl w:val="0"/>
        <w:numPr>
          <w:numId w:val="0"/>
        </w:numPr>
        <w:ind w:leftChars="10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d. 将样品置于95ºC水浴或PCR仪，孵育5分钟(孵育结束后组织未完全消化属于正常现象，不会影响试剂盒的检测效果)。</w:t>
      </w:r>
    </w:p>
    <w:p>
      <w:pPr>
        <w:widowControl w:val="0"/>
        <w:numPr>
          <w:numId w:val="0"/>
        </w:numPr>
        <w:ind w:leftChars="10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e. 向上述样品中加入100μl的Stop Solution，涡旋混匀。</w:t>
      </w:r>
    </w:p>
    <w:p>
      <w:pPr>
        <w:widowControl w:val="0"/>
        <w:numPr>
          <w:numId w:val="0"/>
        </w:numPr>
        <w:ind w:leftChars="10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f. 将上述提取样品置于-20ºC或4ºC保存或立即进行PCR检测(若需长期保存样品，应将未消化的组织去除或将提取物转移到新的离心管中。大部分情况下，提取物4ºC能保存至少1个月，-20ºC至少能保存一年)。</w:t>
      </w:r>
    </w:p>
    <w:p>
      <w:pPr>
        <w:widowControl w:val="0"/>
        <w:numPr>
          <w:numId w:val="0"/>
        </w:numPr>
        <w:ind w:leftChars="100"/>
        <w:jc w:val="both"/>
        <w:rPr>
          <w:rFonts w:hint="eastAsia" w:ascii="宋体" w:hAnsi="宋体" w:eastAsia="宋体" w:cs="宋体"/>
          <w:b w:val="0"/>
          <w:bCs w:val="0"/>
          <w:sz w:val="18"/>
          <w:szCs w:val="18"/>
          <w:lang w:val="en-US" w:eastAsia="zh-CN"/>
        </w:rPr>
      </w:pPr>
    </w:p>
    <w:p>
      <w:pPr>
        <w:numPr>
          <w:numId w:val="0"/>
        </w:numPr>
        <w:jc w:val="both"/>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2. PCR 扩增</w:t>
      </w:r>
    </w:p>
    <w:p>
      <w:pPr>
        <w:widowControl w:val="0"/>
        <w:numPr>
          <w:numId w:val="0"/>
        </w:numPr>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a. PCR反应体系的设置：</w:t>
      </w:r>
    </w:p>
    <w:p>
      <w:pPr>
        <w:widowControl w:val="0"/>
        <w:numPr>
          <w:numId w:val="0"/>
        </w:numPr>
        <w:ind w:leftChars="10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(a) 融解并混匀PCR反应所需的各种溶液。将Easy-Load™ PCR Master Mix (Green, 2X)置于冰浴上或冰盒内。</w:t>
      </w:r>
    </w:p>
    <w:p>
      <w:pPr>
        <w:widowControl w:val="0"/>
        <w:numPr>
          <w:numId w:val="0"/>
        </w:numPr>
        <w:ind w:leftChars="10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(b) 参考下表在冰浴上配制PCR反应体系：</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555"/>
        <w:gridCol w:w="2126"/>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55"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试剂</w:t>
            </w:r>
          </w:p>
        </w:tc>
        <w:tc>
          <w:tcPr>
            <w:tcW w:w="2126"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最终浓度</w:t>
            </w:r>
          </w:p>
        </w:tc>
        <w:tc>
          <w:tcPr>
            <w:tcW w:w="2841"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55"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双蒸水或Milli-Q水</w:t>
            </w:r>
          </w:p>
        </w:tc>
        <w:tc>
          <w:tcPr>
            <w:tcW w:w="2126" w:type="dxa"/>
          </w:tcPr>
          <w:p>
            <w:pPr>
              <w:widowControl w:val="0"/>
              <w:numPr>
                <w:numId w:val="0"/>
              </w:numPr>
              <w:jc w:val="both"/>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w:t>
            </w:r>
          </w:p>
        </w:tc>
        <w:tc>
          <w:tcPr>
            <w:tcW w:w="2841"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7.4μl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55"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模板(消化产物)</w:t>
            </w:r>
          </w:p>
        </w:tc>
        <w:tc>
          <w:tcPr>
            <w:tcW w:w="2126"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2-20ng/μl </w:t>
            </w:r>
          </w:p>
        </w:tc>
        <w:tc>
          <w:tcPr>
            <w:tcW w:w="2841"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55"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引物混合物(10μM each) </w:t>
            </w:r>
          </w:p>
        </w:tc>
        <w:tc>
          <w:tcPr>
            <w:tcW w:w="2126"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0.8μM  </w:t>
            </w:r>
          </w:p>
        </w:tc>
        <w:tc>
          <w:tcPr>
            <w:tcW w:w="2841"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1.6μl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55"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Easy-Load™ PCR Master Mix (Green, 2X)</w:t>
            </w:r>
          </w:p>
        </w:tc>
        <w:tc>
          <w:tcPr>
            <w:tcW w:w="2126"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1X</w:t>
            </w:r>
          </w:p>
        </w:tc>
        <w:tc>
          <w:tcPr>
            <w:tcW w:w="2841"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10μl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55"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总体积</w:t>
            </w:r>
          </w:p>
        </w:tc>
        <w:tc>
          <w:tcPr>
            <w:tcW w:w="2126" w:type="dxa"/>
          </w:tcPr>
          <w:p>
            <w:pPr>
              <w:widowControl w:val="0"/>
              <w:numPr>
                <w:numId w:val="0"/>
              </w:numPr>
              <w:jc w:val="both"/>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w:t>
            </w:r>
          </w:p>
        </w:tc>
        <w:tc>
          <w:tcPr>
            <w:tcW w:w="2841"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20μl</w:t>
            </w:r>
          </w:p>
        </w:tc>
      </w:tr>
    </w:tbl>
    <w:p>
      <w:pPr>
        <w:widowControl w:val="0"/>
        <w:numPr>
          <w:numId w:val="0"/>
        </w:numPr>
        <w:ind w:leftChars="10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(c) 用移液器轻轻吹打混匀或轻微Vortex混匀，室温离心数秒，使液体积聚于管底。</w:t>
      </w:r>
    </w:p>
    <w:p>
      <w:pPr>
        <w:widowControl w:val="0"/>
        <w:numPr>
          <w:numId w:val="0"/>
        </w:numPr>
        <w:ind w:leftChars="10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(d) 如果所使用的PCR仪有热盖则省略本步骤。如果PCR仪没有热盖，则在管内滴入一滴矿物油(mineral oil，ST275)。</w:t>
      </w:r>
    </w:p>
    <w:p>
      <w:pPr>
        <w:widowControl w:val="0"/>
        <w:numPr>
          <w:numId w:val="0"/>
        </w:numPr>
        <w:ind w:leftChars="10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(e) 把配制好的PCR反应体系置于PCR仪上，开始PCR反应。</w:t>
      </w:r>
    </w:p>
    <w:p>
      <w:pPr>
        <w:widowControl w:val="0"/>
        <w:numPr>
          <w:numId w:val="0"/>
        </w:numPr>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b. PCR反应参数的设置可以参考如下示例：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Step  </w:t>
            </w:r>
          </w:p>
        </w:tc>
        <w:tc>
          <w:tcPr>
            <w:tcW w:w="2130"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Temperature  </w:t>
            </w:r>
          </w:p>
        </w:tc>
        <w:tc>
          <w:tcPr>
            <w:tcW w:w="2131"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Time  </w:t>
            </w:r>
          </w:p>
        </w:tc>
        <w:tc>
          <w:tcPr>
            <w:tcW w:w="2131"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起始变性  </w:t>
            </w:r>
          </w:p>
        </w:tc>
        <w:tc>
          <w:tcPr>
            <w:tcW w:w="2130"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94ºC  </w:t>
            </w:r>
          </w:p>
        </w:tc>
        <w:tc>
          <w:tcPr>
            <w:tcW w:w="2131"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3min  </w:t>
            </w:r>
          </w:p>
        </w:tc>
        <w:tc>
          <w:tcPr>
            <w:tcW w:w="2131"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变性  </w:t>
            </w:r>
          </w:p>
        </w:tc>
        <w:tc>
          <w:tcPr>
            <w:tcW w:w="2130"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94ºC  </w:t>
            </w:r>
          </w:p>
        </w:tc>
        <w:tc>
          <w:tcPr>
            <w:tcW w:w="2131"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30sec</w:t>
            </w:r>
          </w:p>
        </w:tc>
        <w:tc>
          <w:tcPr>
            <w:tcW w:w="2131" w:type="dxa"/>
            <w:vMerge w:val="restart"/>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30-35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退火  </w:t>
            </w:r>
          </w:p>
        </w:tc>
        <w:tc>
          <w:tcPr>
            <w:tcW w:w="2130"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55ºC  </w:t>
            </w:r>
          </w:p>
        </w:tc>
        <w:tc>
          <w:tcPr>
            <w:tcW w:w="2131"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30sec</w:t>
            </w:r>
          </w:p>
        </w:tc>
        <w:tc>
          <w:tcPr>
            <w:tcW w:w="2131" w:type="dxa"/>
            <w:vMerge w:val="continue"/>
            <w:tcBorders/>
          </w:tcPr>
          <w:p>
            <w:pPr>
              <w:widowControl w:val="0"/>
              <w:numPr>
                <w:numId w:val="0"/>
              </w:numPr>
              <w:jc w:val="both"/>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延伸  </w:t>
            </w:r>
          </w:p>
        </w:tc>
        <w:tc>
          <w:tcPr>
            <w:tcW w:w="2130"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72ºC  </w:t>
            </w:r>
          </w:p>
        </w:tc>
        <w:tc>
          <w:tcPr>
            <w:tcW w:w="2131"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1kb/min</w:t>
            </w:r>
          </w:p>
        </w:tc>
        <w:tc>
          <w:tcPr>
            <w:tcW w:w="2131" w:type="dxa"/>
            <w:vMerge w:val="continue"/>
            <w:tcBorders/>
          </w:tcPr>
          <w:p>
            <w:pPr>
              <w:widowControl w:val="0"/>
              <w:numPr>
                <w:numId w:val="0"/>
              </w:numPr>
              <w:jc w:val="both"/>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最终延伸  </w:t>
            </w:r>
          </w:p>
        </w:tc>
        <w:tc>
          <w:tcPr>
            <w:tcW w:w="2130"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72ºC  </w:t>
            </w:r>
          </w:p>
        </w:tc>
        <w:tc>
          <w:tcPr>
            <w:tcW w:w="2131"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10min  </w:t>
            </w:r>
          </w:p>
        </w:tc>
        <w:tc>
          <w:tcPr>
            <w:tcW w:w="2131"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临时保存  </w:t>
            </w:r>
          </w:p>
        </w:tc>
        <w:tc>
          <w:tcPr>
            <w:tcW w:w="2130"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4ºC  </w:t>
            </w:r>
          </w:p>
        </w:tc>
        <w:tc>
          <w:tcPr>
            <w:tcW w:w="2131" w:type="dxa"/>
          </w:tcPr>
          <w:p>
            <w:pPr>
              <w:widowControl w:val="0"/>
              <w:numPr>
                <w:numId w:val="0"/>
              </w:numPr>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 xml:space="preserve">forever  </w:t>
            </w:r>
          </w:p>
        </w:tc>
        <w:tc>
          <w:tcPr>
            <w:tcW w:w="2131" w:type="dxa"/>
          </w:tcPr>
          <w:p>
            <w:pPr>
              <w:widowControl w:val="0"/>
              <w:numPr>
                <w:numId w:val="0"/>
              </w:numPr>
              <w:jc w:val="both"/>
              <w:rPr>
                <w:rFonts w:hint="default"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w:t>
            </w:r>
          </w:p>
        </w:tc>
      </w:tr>
    </w:tbl>
    <w:p>
      <w:pPr>
        <w:numPr>
          <w:ilvl w:val="0"/>
          <w:numId w:val="0"/>
        </w:numPr>
        <w:jc w:val="both"/>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3.  琼脂糖凝胶电泳</w:t>
      </w:r>
    </w:p>
    <w:p>
      <w:pPr>
        <w:widowControl w:val="0"/>
        <w:numPr>
          <w:numId w:val="0"/>
        </w:numPr>
        <w:ind w:firstLine="360" w:firstLineChars="20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PCR反应结束后直接上样进行琼脂糖凝胶电泳。</w:t>
      </w:r>
    </w:p>
    <w:p>
      <w:pPr>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常见问题：</w:t>
      </w:r>
    </w:p>
    <w:p>
      <w:pPr>
        <w:numPr>
          <w:ilvl w:val="0"/>
          <w:numId w:val="4"/>
        </w:numPr>
        <w:jc w:val="both"/>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PCR产物少或没有目的条带。</w:t>
      </w:r>
    </w:p>
    <w:p>
      <w:pPr>
        <w:widowControl w:val="0"/>
        <w:numPr>
          <w:numId w:val="0"/>
        </w:numPr>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a. 组织提取物中的污染物抑制了PCR反应。为检测抑制物，可用等体积混合的DNA Extraction Solution和Stop Solution，同时用DNA对照或已知数量的模板(100-500 copies)进行PCR反应。</w:t>
      </w:r>
    </w:p>
    <w:p>
      <w:pPr>
        <w:widowControl w:val="0"/>
        <w:numPr>
          <w:numId w:val="0"/>
        </w:numPr>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b. 组织消化不够充分。可适当延长55ºC消化时间或适当增加Enzyme Mix的使用量。</w:t>
      </w:r>
    </w:p>
    <w:p>
      <w:pPr>
        <w:widowControl w:val="0"/>
        <w:numPr>
          <w:numId w:val="0"/>
        </w:numPr>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c. Enzyme Mix未被完全灭活。适当延长消化产物在95ºC的孵育时间。</w:t>
      </w:r>
    </w:p>
    <w:p>
      <w:pPr>
        <w:widowControl w:val="0"/>
        <w:numPr>
          <w:numId w:val="0"/>
        </w:numPr>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d. 引物设计不佳是PCR过程中最常见的问题。请选择适当的引物设计软件进行引物设计，注意引物的GC含量、二级结构、二聚体、退火温度、长度、特异性等方面的问题。在加入酶切位点等的引物中，一定要注意加入酶切位点等后整条引物的GC含量、二级结构、二聚体、退火温度、长度、特异性等方面的问题。在原有引物效果不佳的情况并且阳性对照引物可以正常工作的情况下，可以考虑更换引物。</w:t>
      </w:r>
    </w:p>
    <w:p>
      <w:pPr>
        <w:widowControl w:val="0"/>
        <w:numPr>
          <w:numId w:val="0"/>
        </w:numPr>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e. 待扩增片段GC含量偏高。GC含量较高的情况下PCR会变得相对比较困难，此时可以使用适合扩增高GC含量DNA片段的GC-rich buffer，并相应地根据GC-rich buffer的要求或说明调整PCR反应参数的设置。</w:t>
      </w:r>
    </w:p>
    <w:p>
      <w:pPr>
        <w:widowControl w:val="0"/>
        <w:numPr>
          <w:numId w:val="0"/>
        </w:numPr>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f. 长片段扩增。尽管Taq DNA polymerase可以扩增最长达8kb的DNA片段，但大多数时候比较适合扩增2-3kb以下的片段，更长片段的扩增推荐使用其它更适合长片段扩增的DNA聚合酶。</w:t>
      </w:r>
    </w:p>
    <w:p>
      <w:pPr>
        <w:widowControl w:val="0"/>
        <w:numPr>
          <w:numId w:val="0"/>
        </w:numPr>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g. PCR反应设置时在室温进行容易导致非特异性条件。推荐在冰浴上设置PCR反应。</w:t>
      </w:r>
    </w:p>
    <w:p>
      <w:pPr>
        <w:widowControl w:val="0"/>
        <w:numPr>
          <w:numId w:val="0"/>
        </w:numPr>
        <w:jc w:val="both"/>
        <w:rPr>
          <w:rFonts w:hint="eastAsia" w:ascii="宋体" w:hAnsi="宋体" w:eastAsia="宋体" w:cs="宋体"/>
          <w:b w:val="0"/>
          <w:bCs w:val="0"/>
          <w:sz w:val="18"/>
          <w:szCs w:val="18"/>
          <w:lang w:val="en-US" w:eastAsia="zh-CN"/>
        </w:rPr>
      </w:pPr>
    </w:p>
    <w:p>
      <w:pPr>
        <w:widowControl w:val="0"/>
        <w:numPr>
          <w:numId w:val="0"/>
        </w:numPr>
        <w:jc w:val="both"/>
        <w:rPr>
          <w:rFonts w:hint="eastAsia" w:ascii="宋体" w:hAnsi="宋体" w:eastAsia="宋体" w:cs="宋体"/>
          <w:b w:val="0"/>
          <w:bCs w:val="0"/>
          <w:sz w:val="18"/>
          <w:szCs w:val="18"/>
          <w:lang w:val="en-US" w:eastAsia="zh-CN"/>
        </w:rPr>
      </w:pPr>
    </w:p>
    <w:p>
      <w:pPr>
        <w:widowControl w:val="0"/>
        <w:numPr>
          <w:numId w:val="0"/>
        </w:numPr>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h. 由于引物存在一定的二级结构或存在一定的引物二聚体，或引物偏短，导致退火效果不佳。此时可以采用Touch down等方法进行退火，通常采用从65ºC逐步缓慢降温到55ºC或50ºC的方法，使退火更加充分。</w:t>
      </w:r>
    </w:p>
    <w:p>
      <w:pPr>
        <w:widowControl w:val="0"/>
        <w:numPr>
          <w:numId w:val="0"/>
        </w:numPr>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i. 退火温度不佳，需要优化。如果有温度梯度PCR仪，则可以设置退火的温度梯度，摸索退火的最佳温度。如果没有温度梯度PCR仪，则可以通过多次PCR反应摸索最佳的退火温度。</w:t>
      </w:r>
    </w:p>
    <w:p>
      <w:pPr>
        <w:widowControl w:val="0"/>
        <w:numPr>
          <w:numId w:val="0"/>
        </w:numPr>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j. 延伸时间不足。可按照每1kb片段延伸1分钟进行设置，对于较难扩增的片段可以设置为每1kb片段延伸1.5-2分钟。</w:t>
      </w:r>
    </w:p>
    <w:p>
      <w:pPr>
        <w:widowControl w:val="0"/>
        <w:numPr>
          <w:numId w:val="0"/>
        </w:numPr>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k. 待扩增片段GC含量较高或长度较长，变性不够充分。可以调节起始变性条件至95ºC 1min甚至95ºC 2-4min。</w:t>
      </w:r>
    </w:p>
    <w:p>
      <w:pPr>
        <w:widowControl w:val="0"/>
        <w:numPr>
          <w:numId w:val="0"/>
        </w:numPr>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l. 在不同PCR仪上进行PCR反应，避免有时PCR仪出现问题。</w:t>
      </w:r>
    </w:p>
    <w:p>
      <w:pPr>
        <w:widowControl w:val="0"/>
        <w:numPr>
          <w:numId w:val="0"/>
        </w:numPr>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m. 循环数不足，适当延长PCR的循环数。通常循环数最高不必超过40，常用的循环数范围为25-35。</w:t>
      </w:r>
    </w:p>
    <w:p>
      <w:pPr>
        <w:widowControl w:val="0"/>
        <w:numPr>
          <w:numId w:val="0"/>
        </w:numPr>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n. 模板含量太低，适当加大模板量，或采用巢式PCR(nested PCR)或二次PCR。巢式PCR即为在原先设计的PCR引物内侧再设计一对PCR引物，然后对第一次PCR产物进行稀释后再进行一次PCR扩增，这样一方面可以起到扩增作用，同时也可以从第一次PCR产物中扩增出特异性条带。二次PCR则为比较简单地用原有引物对第一次PCR产物进行稀释后再进行一次PCR扩增，可以起到扩增作用，但不能去除非特异性条带。</w:t>
      </w:r>
    </w:p>
    <w:p>
      <w:pPr>
        <w:widowControl w:val="0"/>
        <w:numPr>
          <w:numId w:val="0"/>
        </w:numPr>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o. 注意设置适当的阳性对照和阴性对照通常会有很大帮助。</w:t>
      </w:r>
    </w:p>
    <w:p>
      <w:pPr>
        <w:numPr>
          <w:numId w:val="0"/>
        </w:numPr>
        <w:jc w:val="both"/>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2.  组织在孵育后未完全消化。</w:t>
      </w:r>
    </w:p>
    <w:p>
      <w:pPr>
        <w:numPr>
          <w:numId w:val="0"/>
        </w:numPr>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a. 有些组织很难完全消化。直接PCR试剂盒不要求组织完全消化，部分消化提取的DNA通常也足够满足PCR检测。</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r>
      <w:rPr>
        <w:rFonts w:hint="eastAsia"/>
        <w:lang w:eastAsia="zh-CN"/>
      </w:rPr>
      <w:drawing>
        <wp:anchor distT="0" distB="0" distL="114300" distR="114300" simplePos="0" relativeHeight="251658240" behindDoc="1" locked="0" layoutInCell="1" allowOverlap="1">
          <wp:simplePos x="0" y="0"/>
          <wp:positionH relativeFrom="column">
            <wp:posOffset>3324225</wp:posOffset>
          </wp:positionH>
          <wp:positionV relativeFrom="paragraph">
            <wp:posOffset>-176530</wp:posOffset>
          </wp:positionV>
          <wp:extent cx="1844675" cy="963930"/>
          <wp:effectExtent l="0" t="0" r="3175" b="7620"/>
          <wp:wrapTight wrapText="bothSides">
            <wp:wrapPolygon>
              <wp:start x="14276" y="0"/>
              <wp:lineTo x="11822" y="2134"/>
              <wp:lineTo x="14722" y="6830"/>
              <wp:lineTo x="1785" y="8111"/>
              <wp:lineTo x="0" y="8964"/>
              <wp:lineTo x="0" y="14514"/>
              <wp:lineTo x="20522" y="20490"/>
              <wp:lineTo x="20968" y="21344"/>
              <wp:lineTo x="21414" y="21344"/>
              <wp:lineTo x="21414" y="17075"/>
              <wp:lineTo x="20522" y="13660"/>
              <wp:lineTo x="19853" y="6403"/>
              <wp:lineTo x="18291" y="2561"/>
              <wp:lineTo x="16953" y="0"/>
              <wp:lineTo x="14276" y="0"/>
            </wp:wrapPolygon>
          </wp:wrapTight>
          <wp:docPr id="1" name="图片 1" descr="透明底ameko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透明底ameko标志"/>
                  <pic:cNvPicPr>
                    <a:picLocks noChangeAspect="1"/>
                  </pic:cNvPicPr>
                </pic:nvPicPr>
                <pic:blipFill>
                  <a:blip r:embed="rId1"/>
                  <a:stretch>
                    <a:fillRect/>
                  </a:stretch>
                </pic:blipFill>
                <pic:spPr>
                  <a:xfrm>
                    <a:off x="0" y="0"/>
                    <a:ext cx="1844675" cy="963930"/>
                  </a:xfrm>
                  <a:prstGeom prst="rect">
                    <a:avLst/>
                  </a:prstGeom>
                </pic:spPr>
              </pic:pic>
            </a:graphicData>
          </a:graphic>
        </wp:anchor>
      </w:drawing>
    </w:r>
    <w:r>
      <w:rPr>
        <w:rFonts w:hint="eastAsia"/>
        <w:lang w:eastAsia="zh-CN"/>
      </w:rPr>
      <w:t>上海联硕生物科技有限公司</w:t>
    </w:r>
    <w:r>
      <w:rPr>
        <w:rFonts w:hint="eastAsia"/>
        <w:lang w:val="en-US" w:eastAsia="zh-CN"/>
      </w:rPr>
      <w:t xml:space="preserve">  </w:t>
    </w:r>
  </w:p>
  <w:p>
    <w:pPr>
      <w:pStyle w:val="4"/>
      <w:rPr>
        <w:rFonts w:hint="eastAsia"/>
        <w:lang w:val="en-US" w:eastAsia="zh-CN"/>
      </w:rPr>
    </w:pPr>
    <w:r>
      <w:rPr>
        <w:rFonts w:hint="eastAsia"/>
        <w:lang w:val="en-US" w:eastAsia="zh-CN"/>
      </w:rPr>
      <w:t>网址：</w:t>
    </w:r>
    <w:r>
      <w:rPr>
        <w:rFonts w:hint="eastAsia"/>
        <w:lang w:val="en-US" w:eastAsia="zh-CN"/>
      </w:rPr>
      <w:fldChar w:fldCharType="begin"/>
    </w:r>
    <w:r>
      <w:rPr>
        <w:rFonts w:hint="eastAsia"/>
        <w:lang w:val="en-US" w:eastAsia="zh-CN"/>
      </w:rPr>
      <w:instrText xml:space="preserve"> HYPERLINK "http://www.biolianshuo.com" </w:instrText>
    </w:r>
    <w:r>
      <w:rPr>
        <w:rFonts w:hint="eastAsia"/>
        <w:lang w:val="en-US" w:eastAsia="zh-CN"/>
      </w:rPr>
      <w:fldChar w:fldCharType="separate"/>
    </w:r>
    <w:r>
      <w:rPr>
        <w:rStyle w:val="8"/>
        <w:rFonts w:hint="eastAsia"/>
        <w:lang w:val="en-US" w:eastAsia="zh-CN"/>
      </w:rPr>
      <w:t>www.biolianshuo.com</w:t>
    </w:r>
    <w:r>
      <w:rPr>
        <w:rFonts w:hint="eastAsia"/>
        <w:lang w:val="en-US" w:eastAsia="zh-CN"/>
      </w:rPr>
      <w:fldChar w:fldCharType="end"/>
    </w:r>
  </w:p>
  <w:p>
    <w:pPr>
      <w:pStyle w:val="4"/>
      <w:rPr>
        <w:rFonts w:hint="eastAsia" w:eastAsiaTheme="minorEastAsia"/>
        <w:lang w:eastAsia="zh-CN"/>
      </w:rPr>
    </w:pPr>
    <w:r>
      <w:rPr>
        <w:rFonts w:hint="eastAsia"/>
        <w:lang w:val="en-US" w:eastAsia="zh-CN"/>
      </w:rPr>
      <w:t xml:space="preserve">电话：400-0918-500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7AA77"/>
    <w:multiLevelType w:val="singleLevel"/>
    <w:tmpl w:val="A757AA77"/>
    <w:lvl w:ilvl="0" w:tentative="0">
      <w:start w:val="1"/>
      <w:numFmt w:val="lowerLetter"/>
      <w:suff w:val="space"/>
      <w:lvlText w:val="%1."/>
      <w:lvlJc w:val="left"/>
    </w:lvl>
  </w:abstractNum>
  <w:abstractNum w:abstractNumId="1">
    <w:nsid w:val="E3F14189"/>
    <w:multiLevelType w:val="singleLevel"/>
    <w:tmpl w:val="E3F14189"/>
    <w:lvl w:ilvl="0" w:tentative="0">
      <w:start w:val="7"/>
      <w:numFmt w:val="decimal"/>
      <w:suff w:val="nothing"/>
      <w:lvlText w:val="%1、"/>
      <w:lvlJc w:val="left"/>
    </w:lvl>
  </w:abstractNum>
  <w:abstractNum w:abstractNumId="2">
    <w:nsid w:val="000520F1"/>
    <w:multiLevelType w:val="singleLevel"/>
    <w:tmpl w:val="000520F1"/>
    <w:lvl w:ilvl="0" w:tentative="0">
      <w:start w:val="1"/>
      <w:numFmt w:val="decimal"/>
      <w:suff w:val="space"/>
      <w:lvlText w:val="%1."/>
      <w:lvlJc w:val="left"/>
    </w:lvl>
  </w:abstractNum>
  <w:abstractNum w:abstractNumId="3">
    <w:nsid w:val="6E3C31D6"/>
    <w:multiLevelType w:val="singleLevel"/>
    <w:tmpl w:val="6E3C31D6"/>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F02B3"/>
    <w:rsid w:val="02667C82"/>
    <w:rsid w:val="03280E4A"/>
    <w:rsid w:val="047F6784"/>
    <w:rsid w:val="05423E6B"/>
    <w:rsid w:val="09C16958"/>
    <w:rsid w:val="0E355545"/>
    <w:rsid w:val="10154A75"/>
    <w:rsid w:val="10782F98"/>
    <w:rsid w:val="10D75FDB"/>
    <w:rsid w:val="10DB351F"/>
    <w:rsid w:val="12DD4EA3"/>
    <w:rsid w:val="17006472"/>
    <w:rsid w:val="19A24F27"/>
    <w:rsid w:val="1E304318"/>
    <w:rsid w:val="24D5514D"/>
    <w:rsid w:val="25843A46"/>
    <w:rsid w:val="262E5EB0"/>
    <w:rsid w:val="2D4F3684"/>
    <w:rsid w:val="2E781D58"/>
    <w:rsid w:val="2EA40681"/>
    <w:rsid w:val="30D079ED"/>
    <w:rsid w:val="30E37952"/>
    <w:rsid w:val="30F657C8"/>
    <w:rsid w:val="31394A7A"/>
    <w:rsid w:val="316977D6"/>
    <w:rsid w:val="32866F27"/>
    <w:rsid w:val="341D3309"/>
    <w:rsid w:val="360458D6"/>
    <w:rsid w:val="391D1527"/>
    <w:rsid w:val="39D613CE"/>
    <w:rsid w:val="3E19774E"/>
    <w:rsid w:val="3FA153B8"/>
    <w:rsid w:val="422246BE"/>
    <w:rsid w:val="42575A85"/>
    <w:rsid w:val="45DF4BB6"/>
    <w:rsid w:val="46961769"/>
    <w:rsid w:val="477B0175"/>
    <w:rsid w:val="47F43359"/>
    <w:rsid w:val="484B3FBA"/>
    <w:rsid w:val="494C26AA"/>
    <w:rsid w:val="4BC10484"/>
    <w:rsid w:val="4EAA2437"/>
    <w:rsid w:val="50945D87"/>
    <w:rsid w:val="5194258A"/>
    <w:rsid w:val="52FD4FFB"/>
    <w:rsid w:val="561A7789"/>
    <w:rsid w:val="565C4610"/>
    <w:rsid w:val="56F87FA8"/>
    <w:rsid w:val="578C4C26"/>
    <w:rsid w:val="591671FE"/>
    <w:rsid w:val="5DAE1FC7"/>
    <w:rsid w:val="60427CA5"/>
    <w:rsid w:val="60860DE8"/>
    <w:rsid w:val="621250F2"/>
    <w:rsid w:val="62491C2A"/>
    <w:rsid w:val="67EF5EC2"/>
    <w:rsid w:val="69566324"/>
    <w:rsid w:val="6A9A54E1"/>
    <w:rsid w:val="6BF00E58"/>
    <w:rsid w:val="6C153E04"/>
    <w:rsid w:val="6C493138"/>
    <w:rsid w:val="6DCA5D9A"/>
    <w:rsid w:val="708E30CD"/>
    <w:rsid w:val="7277575C"/>
    <w:rsid w:val="732660EB"/>
    <w:rsid w:val="7368775B"/>
    <w:rsid w:val="74CD662A"/>
    <w:rsid w:val="75B81165"/>
    <w:rsid w:val="75FE1AF4"/>
    <w:rsid w:val="768B4E30"/>
    <w:rsid w:val="780A52E6"/>
    <w:rsid w:val="790F707F"/>
    <w:rsid w:val="7A41611C"/>
    <w:rsid w:val="7CFD4FB5"/>
    <w:rsid w:val="7DC20FF2"/>
    <w:rsid w:val="7F170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MS Mincho" w:hAnsi="MS Mincho" w:eastAsia="MS Mincho" w:cs="MS Mincho"/>
      <w:sz w:val="21"/>
      <w:szCs w:val="21"/>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op_dict3_font24"/>
    <w:basedOn w:val="7"/>
    <w:unhideWhenUsed/>
    <w:qFormat/>
    <w:uiPriority w:val="0"/>
    <w:rPr>
      <w:rFonts w:hint="default" w:asci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GI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2019-01-07T08:40:00Z</cp:lastPrinted>
  <dcterms:modified xsi:type="dcterms:W3CDTF">2021-01-05T07:17:26Z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